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1C8C" w:rsidRPr="00931C8C" w:rsidRDefault="00931C8C" w:rsidP="00931C8C">
      <w:pPr>
        <w:spacing w:after="0" w:line="480" w:lineRule="auto"/>
        <w:ind w:firstLine="720"/>
        <w:jc w:val="center"/>
        <w:rPr>
          <w:rFonts w:ascii="Times New Roman" w:hAnsi="Times New Roman" w:cs="Times New Roman"/>
          <w:sz w:val="24"/>
          <w:szCs w:val="24"/>
        </w:rPr>
      </w:pPr>
    </w:p>
    <w:p w:rsidR="00931C8C" w:rsidRPr="00931C8C" w:rsidRDefault="00931C8C" w:rsidP="00931C8C">
      <w:pPr>
        <w:spacing w:after="0" w:line="480" w:lineRule="auto"/>
        <w:ind w:firstLine="720"/>
        <w:jc w:val="center"/>
        <w:rPr>
          <w:rFonts w:ascii="Times New Roman" w:hAnsi="Times New Roman" w:cs="Times New Roman"/>
          <w:sz w:val="24"/>
          <w:szCs w:val="24"/>
        </w:rPr>
      </w:pPr>
    </w:p>
    <w:p w:rsidR="00931C8C" w:rsidRPr="00931C8C" w:rsidRDefault="00931C8C" w:rsidP="00931C8C">
      <w:pPr>
        <w:spacing w:after="0" w:line="480" w:lineRule="auto"/>
        <w:ind w:firstLine="720"/>
        <w:jc w:val="center"/>
        <w:rPr>
          <w:rFonts w:ascii="Times New Roman" w:hAnsi="Times New Roman" w:cs="Times New Roman"/>
          <w:sz w:val="24"/>
          <w:szCs w:val="24"/>
        </w:rPr>
      </w:pPr>
    </w:p>
    <w:p w:rsidR="00931C8C" w:rsidRPr="00931C8C" w:rsidRDefault="00931C8C" w:rsidP="00931C8C">
      <w:pPr>
        <w:spacing w:after="0" w:line="480" w:lineRule="auto"/>
        <w:ind w:firstLine="720"/>
        <w:jc w:val="center"/>
        <w:rPr>
          <w:rFonts w:ascii="Times New Roman" w:hAnsi="Times New Roman" w:cs="Times New Roman"/>
          <w:sz w:val="24"/>
          <w:szCs w:val="24"/>
        </w:rPr>
      </w:pPr>
    </w:p>
    <w:p w:rsidR="00931C8C" w:rsidRPr="00931C8C" w:rsidRDefault="00931C8C" w:rsidP="00931C8C">
      <w:pPr>
        <w:spacing w:after="0" w:line="480" w:lineRule="auto"/>
        <w:ind w:firstLine="720"/>
        <w:jc w:val="center"/>
        <w:rPr>
          <w:rFonts w:ascii="Times New Roman" w:hAnsi="Times New Roman" w:cs="Times New Roman"/>
          <w:sz w:val="24"/>
          <w:szCs w:val="24"/>
        </w:rPr>
      </w:pPr>
    </w:p>
    <w:p w:rsidR="00931C8C" w:rsidRPr="00931C8C" w:rsidRDefault="00931C8C" w:rsidP="00931C8C">
      <w:pPr>
        <w:spacing w:after="0" w:line="480" w:lineRule="auto"/>
        <w:ind w:firstLine="720"/>
        <w:jc w:val="center"/>
        <w:rPr>
          <w:rFonts w:ascii="Times New Roman" w:hAnsi="Times New Roman" w:cs="Times New Roman"/>
          <w:sz w:val="24"/>
          <w:szCs w:val="24"/>
        </w:rPr>
      </w:pPr>
    </w:p>
    <w:p w:rsidR="006126BF" w:rsidRPr="00931C8C" w:rsidRDefault="00647387" w:rsidP="00931C8C">
      <w:pPr>
        <w:spacing w:after="0" w:line="480" w:lineRule="auto"/>
        <w:ind w:firstLine="720"/>
        <w:jc w:val="center"/>
        <w:rPr>
          <w:rFonts w:ascii="Times New Roman" w:hAnsi="Times New Roman" w:cs="Times New Roman"/>
          <w:sz w:val="24"/>
          <w:szCs w:val="24"/>
        </w:rPr>
      </w:pPr>
      <w:r w:rsidRPr="00931C8C">
        <w:rPr>
          <w:rFonts w:ascii="Times New Roman" w:hAnsi="Times New Roman" w:cs="Times New Roman"/>
          <w:sz w:val="24"/>
          <w:szCs w:val="24"/>
        </w:rPr>
        <w:t>The Gilded Age</w:t>
      </w:r>
    </w:p>
    <w:p w:rsidR="00647387" w:rsidRPr="00931C8C" w:rsidRDefault="00647387" w:rsidP="00931C8C">
      <w:pPr>
        <w:spacing w:after="0" w:line="480" w:lineRule="auto"/>
        <w:ind w:firstLine="720"/>
        <w:jc w:val="center"/>
        <w:rPr>
          <w:rFonts w:ascii="Times New Roman" w:hAnsi="Times New Roman" w:cs="Times New Roman"/>
          <w:sz w:val="24"/>
          <w:szCs w:val="24"/>
        </w:rPr>
      </w:pPr>
      <w:r w:rsidRPr="00931C8C">
        <w:rPr>
          <w:rFonts w:ascii="Times New Roman" w:hAnsi="Times New Roman" w:cs="Times New Roman"/>
          <w:sz w:val="24"/>
          <w:szCs w:val="24"/>
        </w:rPr>
        <w:t>Student’s Name</w:t>
      </w:r>
    </w:p>
    <w:p w:rsidR="00647387" w:rsidRPr="00931C8C" w:rsidRDefault="00647387" w:rsidP="00931C8C">
      <w:pPr>
        <w:spacing w:after="0" w:line="480" w:lineRule="auto"/>
        <w:ind w:firstLine="720"/>
        <w:jc w:val="center"/>
        <w:rPr>
          <w:rFonts w:ascii="Times New Roman" w:hAnsi="Times New Roman" w:cs="Times New Roman"/>
          <w:sz w:val="24"/>
          <w:szCs w:val="24"/>
        </w:rPr>
      </w:pPr>
      <w:r w:rsidRPr="00931C8C">
        <w:rPr>
          <w:rFonts w:ascii="Times New Roman" w:hAnsi="Times New Roman" w:cs="Times New Roman"/>
          <w:sz w:val="24"/>
          <w:szCs w:val="24"/>
        </w:rPr>
        <w:t>Institutions Affiliations</w:t>
      </w:r>
    </w:p>
    <w:p w:rsidR="00931C8C" w:rsidRPr="00931C8C" w:rsidRDefault="00931C8C">
      <w:pPr>
        <w:rPr>
          <w:rFonts w:ascii="Times New Roman" w:hAnsi="Times New Roman" w:cs="Times New Roman"/>
          <w:sz w:val="24"/>
          <w:szCs w:val="24"/>
        </w:rPr>
      </w:pPr>
      <w:r w:rsidRPr="00931C8C">
        <w:rPr>
          <w:rFonts w:ascii="Times New Roman" w:hAnsi="Times New Roman" w:cs="Times New Roman"/>
          <w:sz w:val="24"/>
          <w:szCs w:val="24"/>
        </w:rPr>
        <w:br w:type="page"/>
      </w:r>
    </w:p>
    <w:p w:rsidR="00931C8C" w:rsidRPr="00931C8C" w:rsidRDefault="00931C8C" w:rsidP="00931C8C">
      <w:pPr>
        <w:spacing w:after="0" w:line="480" w:lineRule="auto"/>
        <w:ind w:firstLine="720"/>
        <w:jc w:val="center"/>
        <w:rPr>
          <w:rFonts w:ascii="Times New Roman" w:hAnsi="Times New Roman" w:cs="Times New Roman"/>
          <w:sz w:val="24"/>
          <w:szCs w:val="24"/>
        </w:rPr>
      </w:pPr>
      <w:r w:rsidRPr="00931C8C">
        <w:rPr>
          <w:rFonts w:ascii="Times New Roman" w:hAnsi="Times New Roman" w:cs="Times New Roman"/>
          <w:sz w:val="24"/>
          <w:szCs w:val="24"/>
        </w:rPr>
        <w:lastRenderedPageBreak/>
        <w:t>The Gilded Age</w:t>
      </w:r>
    </w:p>
    <w:p w:rsidR="00647387" w:rsidRPr="00931C8C" w:rsidRDefault="00594583" w:rsidP="00931C8C">
      <w:pPr>
        <w:tabs>
          <w:tab w:val="left" w:pos="2415"/>
          <w:tab w:val="center" w:pos="5040"/>
        </w:tabs>
        <w:spacing w:after="0" w:line="480" w:lineRule="auto"/>
        <w:rPr>
          <w:rFonts w:ascii="Times New Roman" w:hAnsi="Times New Roman" w:cs="Times New Roman"/>
          <w:b/>
          <w:sz w:val="24"/>
          <w:szCs w:val="24"/>
        </w:rPr>
      </w:pPr>
      <w:r>
        <w:rPr>
          <w:rFonts w:ascii="Times New Roman" w:hAnsi="Times New Roman" w:cs="Times New Roman"/>
          <w:b/>
          <w:sz w:val="24"/>
          <w:szCs w:val="24"/>
        </w:rPr>
        <w:t>Introduction</w:t>
      </w:r>
    </w:p>
    <w:p w:rsidR="00594583" w:rsidRPr="00594583" w:rsidRDefault="00594583" w:rsidP="00594583">
      <w:pPr>
        <w:spacing w:after="0" w:line="480" w:lineRule="auto"/>
        <w:ind w:firstLine="720"/>
        <w:jc w:val="both"/>
        <w:rPr>
          <w:rFonts w:ascii="Times New Roman" w:hAnsi="Times New Roman" w:cs="Times New Roman"/>
          <w:sz w:val="24"/>
          <w:szCs w:val="24"/>
        </w:rPr>
      </w:pPr>
      <w:r w:rsidRPr="00594583">
        <w:rPr>
          <w:rFonts w:ascii="Times New Roman" w:hAnsi="Times New Roman" w:cs="Times New Roman"/>
          <w:sz w:val="24"/>
          <w:szCs w:val="24"/>
        </w:rPr>
        <w:t>The Gilded Age is a period in United States history after the civil war and reconstruction. The period lasted from the 1860s to 1896. The term Gilded Age was devised Twain and Dudley in their book. It refers to the gilding of metal with a shrill gold layer. It is viewed as a period of rapid economic transformation as well as technological, social, and political transformation, which led to a modern, national industrial economy. By the end of this period, the United States was the world’s top leading industrial nation.</w:t>
      </w:r>
    </w:p>
    <w:p w:rsidR="00594583" w:rsidRDefault="00594583" w:rsidP="00594583">
      <w:pPr>
        <w:spacing w:after="0" w:line="480" w:lineRule="auto"/>
        <w:ind w:firstLine="720"/>
        <w:jc w:val="both"/>
        <w:rPr>
          <w:rFonts w:ascii="Times New Roman" w:hAnsi="Times New Roman" w:cs="Times New Roman"/>
          <w:sz w:val="24"/>
          <w:szCs w:val="24"/>
        </w:rPr>
      </w:pPr>
      <w:r w:rsidRPr="00594583">
        <w:rPr>
          <w:rFonts w:ascii="Times New Roman" w:hAnsi="Times New Roman" w:cs="Times New Roman"/>
          <w:sz w:val="24"/>
          <w:szCs w:val="24"/>
        </w:rPr>
        <w:t xml:space="preserve">Throughout the Gilded Age in the United States, the western part got transformed both socially and economically, and the government played a part in the transformation. Businesses were inspired to grow with less control from the government since they allowed a laissez-fare economy policy. Also, the government aided in the development of the frontier, which is defined as the extreme limit of settlement land. It did this by offering promises of protection from natives, giving out large land grants to create transportation and later giving low-priced property to settlers. It was through the land grants that the transcontinental railroad was developed. The government also passed the Homestead Act in 1862, which settlers took to their advantage as it gave vast cheap land to them to encourage farming (Mare, 2016). The transcontinental railroad developed was typical of the economic contradictions and assisted in the growth of the American industry. There were social reforms brought about during the gilded age. These reforms included improvement of workplaces, changes in the civil service, and women became active in politics and the economy as workers and consumers. </w:t>
      </w:r>
    </w:p>
    <w:p w:rsidR="00594583" w:rsidRPr="00594583" w:rsidRDefault="00594583" w:rsidP="00594583">
      <w:pPr>
        <w:spacing w:after="0" w:line="480" w:lineRule="auto"/>
        <w:ind w:firstLine="720"/>
        <w:rPr>
          <w:rFonts w:ascii="Times New Roman" w:hAnsi="Times New Roman" w:cs="Times New Roman"/>
          <w:sz w:val="24"/>
          <w:szCs w:val="24"/>
        </w:rPr>
      </w:pPr>
      <w:r w:rsidRPr="00594583">
        <w:rPr>
          <w:rFonts w:ascii="Times New Roman" w:hAnsi="Times New Roman" w:cs="Times New Roman"/>
          <w:sz w:val="24"/>
          <w:szCs w:val="24"/>
        </w:rPr>
        <w:t xml:space="preserve">The reformers from the gilded age were faced with violence as they approached the industrial issues. For instance, there was the famous railroad strike which consisted of the </w:t>
      </w:r>
      <w:r w:rsidRPr="00594583">
        <w:rPr>
          <w:rFonts w:ascii="Times New Roman" w:hAnsi="Times New Roman" w:cs="Times New Roman"/>
          <w:sz w:val="24"/>
          <w:szCs w:val="24"/>
        </w:rPr>
        <w:lastRenderedPageBreak/>
        <w:t>homegrown associations belonging to the craftworks. They were also challenged by Unions such as the Knight and National Labor Union and later the Haymarket bombing. The success in ending the strike, reformers decided to create unions which were meant to assist workers to get higher wages as well as have better working conditions (</w:t>
      </w:r>
      <w:proofErr w:type="spellStart"/>
      <w:r w:rsidRPr="00594583">
        <w:rPr>
          <w:rFonts w:ascii="Times New Roman" w:hAnsi="Times New Roman" w:cs="Times New Roman"/>
          <w:sz w:val="24"/>
          <w:szCs w:val="24"/>
        </w:rPr>
        <w:t>Vaheesan</w:t>
      </w:r>
      <w:proofErr w:type="spellEnd"/>
      <w:r w:rsidRPr="00594583">
        <w:rPr>
          <w:rFonts w:ascii="Times New Roman" w:hAnsi="Times New Roman" w:cs="Times New Roman"/>
          <w:sz w:val="24"/>
          <w:szCs w:val="24"/>
        </w:rPr>
        <w:t>, 2017). The reformers were alarmed by fear of concentration of power and class and came up with a solution of enforcing single tax and also rejected the tradition that provided liberty with ownership of land.</w:t>
      </w:r>
    </w:p>
    <w:p w:rsidR="00594583" w:rsidRPr="00594583" w:rsidRDefault="00594583" w:rsidP="00594583">
      <w:pPr>
        <w:spacing w:after="0" w:line="480" w:lineRule="auto"/>
        <w:rPr>
          <w:rFonts w:ascii="Times New Roman" w:hAnsi="Times New Roman" w:cs="Times New Roman"/>
          <w:sz w:val="24"/>
          <w:szCs w:val="24"/>
        </w:rPr>
      </w:pPr>
      <w:r w:rsidRPr="00594583">
        <w:rPr>
          <w:rFonts w:ascii="Times New Roman" w:hAnsi="Times New Roman" w:cs="Times New Roman"/>
          <w:sz w:val="24"/>
          <w:szCs w:val="24"/>
        </w:rPr>
        <w:t>The national railroads helped in the development of the Americas Second industrial revolution as it provided, for the very first time, transcontinental transportation. The railroad was used to convey goods from the west part to the east and from the east part to the west (Short, J. R. (2013). By the year 1900, much of the railroad system was already in place, and this opened up the way for the significant settlement of the west, stimulated the growth of communities as well as the town. The national railroad tied the entire country together by providing the interconnections of different parts of the country. When the great railroad strike happened in 1894, the railroads were shut down, and this was when the real Significance of the railroads was realized.</w:t>
      </w:r>
    </w:p>
    <w:p w:rsidR="00594583" w:rsidRPr="00594583" w:rsidRDefault="00594583" w:rsidP="00594583">
      <w:pPr>
        <w:spacing w:after="0" w:line="480" w:lineRule="auto"/>
        <w:ind w:firstLine="720"/>
        <w:rPr>
          <w:rFonts w:ascii="Times New Roman" w:hAnsi="Times New Roman" w:cs="Times New Roman"/>
          <w:sz w:val="24"/>
          <w:szCs w:val="24"/>
        </w:rPr>
      </w:pPr>
      <w:r w:rsidRPr="00594583">
        <w:rPr>
          <w:rFonts w:ascii="Times New Roman" w:hAnsi="Times New Roman" w:cs="Times New Roman"/>
          <w:sz w:val="24"/>
          <w:szCs w:val="24"/>
        </w:rPr>
        <w:t>On 1877, the Baltimore workers, together with the Ohio railroad employees, went on a strike after they experienced another pay cut. This resulted in violence erupting, and state militia was brought, which proved ineffective due to their sympathy on strikers. The response to the situation, federal forces were dispatched in the protection of the railroad. This became the first use of national militaries in such a labor issue. Strikers’ spirit was eventually sunk due to the significant intervention of the federal government.</w:t>
      </w:r>
    </w:p>
    <w:p w:rsidR="00594583" w:rsidRPr="00594583" w:rsidRDefault="00594583" w:rsidP="00594583">
      <w:pPr>
        <w:spacing w:after="0" w:line="480" w:lineRule="auto"/>
        <w:rPr>
          <w:rFonts w:ascii="Times New Roman" w:hAnsi="Times New Roman" w:cs="Times New Roman"/>
          <w:sz w:val="24"/>
          <w:szCs w:val="24"/>
        </w:rPr>
      </w:pPr>
      <w:r w:rsidRPr="00594583">
        <w:rPr>
          <w:rFonts w:ascii="Times New Roman" w:hAnsi="Times New Roman" w:cs="Times New Roman"/>
          <w:b/>
          <w:bCs/>
          <w:sz w:val="24"/>
          <w:szCs w:val="24"/>
        </w:rPr>
        <w:t>Sources and Significance of populism.</w:t>
      </w:r>
    </w:p>
    <w:p w:rsidR="00594583" w:rsidRPr="00594583" w:rsidRDefault="00594583" w:rsidP="00594583">
      <w:pPr>
        <w:spacing w:after="0" w:line="480" w:lineRule="auto"/>
        <w:ind w:firstLine="720"/>
        <w:rPr>
          <w:rFonts w:ascii="Times New Roman" w:hAnsi="Times New Roman" w:cs="Times New Roman"/>
          <w:sz w:val="24"/>
          <w:szCs w:val="24"/>
        </w:rPr>
      </w:pPr>
      <w:r w:rsidRPr="00594583">
        <w:rPr>
          <w:rFonts w:ascii="Times New Roman" w:hAnsi="Times New Roman" w:cs="Times New Roman"/>
          <w:sz w:val="24"/>
          <w:szCs w:val="24"/>
        </w:rPr>
        <w:lastRenderedPageBreak/>
        <w:t>Populism is a range of political stands that emphasizes the concept of the people that also juxtapose the group against the elite. Farmers from the Midwest and the South revolted against the Republican and the Democratic parties leading to the populist movement. Some of the reasons why the farmers revolted were; bad marketing, failure of crops, they did not have access to credit facilities and also falling prices (Mare, 2016). The populist movement to the existence of Segregated National Farmers’ Alliance organizations and the organization is known as Colored Farmers’ Alliance. They pushed the federal government to control banks and organizations and assist farmers with their tough situations. </w:t>
      </w:r>
    </w:p>
    <w:p w:rsidR="00931C8C" w:rsidRPr="00931C8C" w:rsidRDefault="00594583" w:rsidP="00594583">
      <w:pPr>
        <w:spacing w:after="0" w:line="480" w:lineRule="auto"/>
        <w:ind w:firstLine="720"/>
        <w:rPr>
          <w:rFonts w:ascii="Times New Roman" w:hAnsi="Times New Roman" w:cs="Times New Roman"/>
          <w:sz w:val="24"/>
          <w:szCs w:val="24"/>
        </w:rPr>
      </w:pPr>
      <w:r w:rsidRPr="00594583">
        <w:rPr>
          <w:rFonts w:ascii="Times New Roman" w:hAnsi="Times New Roman" w:cs="Times New Roman"/>
          <w:sz w:val="24"/>
          <w:szCs w:val="24"/>
        </w:rPr>
        <w:t>The United States foreign policy is a policy that encompasses how it interacts with other nations to further their interests. The system also sets standards of interaction for its corporations and its organizations. The foreign policy of the United States has its goals which include; to develop and sustain a democratic world for the benefit of the international community. American governments assumed neutrality policy, for almost a century and a half, as far as the European conflicts were concerned (</w:t>
      </w:r>
      <w:proofErr w:type="spellStart"/>
      <w:r w:rsidRPr="00594583">
        <w:rPr>
          <w:rFonts w:ascii="Times New Roman" w:hAnsi="Times New Roman" w:cs="Times New Roman"/>
          <w:sz w:val="24"/>
          <w:szCs w:val="24"/>
        </w:rPr>
        <w:t>Vaheesan</w:t>
      </w:r>
      <w:proofErr w:type="spellEnd"/>
      <w:r w:rsidRPr="00594583">
        <w:rPr>
          <w:rFonts w:ascii="Times New Roman" w:hAnsi="Times New Roman" w:cs="Times New Roman"/>
          <w:sz w:val="24"/>
          <w:szCs w:val="24"/>
        </w:rPr>
        <w:t>, 2017). This policy enshrined as a significant principle of American foreign policy in 1796 and remained that way for more than a century. In the late nineteenth century, the United States rapidly expanded its territories, and this age was referred to as the imperialism age. Imperialism of America was partially built on the idea that it is dissimilar from other nations due to its specific task of spreading democracy and freedom worldwide. An example of American imperialism is the seizure of Hawaii in the year 1898, where it acquired control of all ports and possessions belonging to the Hawaiian government.</w:t>
      </w:r>
      <w:bookmarkStart w:id="0" w:name="_GoBack"/>
      <w:bookmarkEnd w:id="0"/>
      <w:r w:rsidR="00931C8C" w:rsidRPr="00931C8C">
        <w:rPr>
          <w:rFonts w:ascii="Times New Roman" w:hAnsi="Times New Roman" w:cs="Times New Roman"/>
          <w:sz w:val="24"/>
          <w:szCs w:val="24"/>
        </w:rPr>
        <w:br w:type="page"/>
      </w:r>
    </w:p>
    <w:p w:rsidR="00AC3E68" w:rsidRPr="00931C8C" w:rsidRDefault="00AC3E68" w:rsidP="00931C8C">
      <w:pPr>
        <w:spacing w:after="0" w:line="480" w:lineRule="auto"/>
        <w:ind w:left="720" w:hanging="720"/>
        <w:jc w:val="center"/>
        <w:rPr>
          <w:rFonts w:ascii="Times New Roman" w:hAnsi="Times New Roman" w:cs="Times New Roman"/>
          <w:sz w:val="24"/>
          <w:szCs w:val="24"/>
        </w:rPr>
      </w:pPr>
      <w:r w:rsidRPr="00931C8C">
        <w:rPr>
          <w:rFonts w:ascii="Times New Roman" w:hAnsi="Times New Roman" w:cs="Times New Roman"/>
          <w:sz w:val="24"/>
          <w:szCs w:val="24"/>
        </w:rPr>
        <w:lastRenderedPageBreak/>
        <w:t>References</w:t>
      </w:r>
    </w:p>
    <w:p w:rsidR="00825C1A" w:rsidRPr="00825C1A" w:rsidRDefault="00825C1A" w:rsidP="00931C8C">
      <w:pPr>
        <w:spacing w:after="0" w:line="480" w:lineRule="auto"/>
        <w:ind w:left="720" w:hanging="720"/>
        <w:rPr>
          <w:rFonts w:ascii="Times New Roman" w:hAnsi="Times New Roman" w:cs="Times New Roman"/>
          <w:color w:val="000000" w:themeColor="text1"/>
          <w:sz w:val="24"/>
          <w:szCs w:val="20"/>
          <w:shd w:val="clear" w:color="auto" w:fill="FFFFFF"/>
        </w:rPr>
      </w:pPr>
      <w:r w:rsidRPr="00825C1A">
        <w:rPr>
          <w:rFonts w:ascii="Times New Roman" w:hAnsi="Times New Roman" w:cs="Times New Roman"/>
          <w:color w:val="000000" w:themeColor="text1"/>
          <w:sz w:val="24"/>
          <w:szCs w:val="20"/>
          <w:shd w:val="clear" w:color="auto" w:fill="FFFFFF"/>
        </w:rPr>
        <w:t>Mare, R. D. (2016). Educational homogamy in two gilded ages: Evidence from inter-generational social mobility data. </w:t>
      </w:r>
      <w:r w:rsidRPr="00825C1A">
        <w:rPr>
          <w:rFonts w:ascii="Times New Roman" w:hAnsi="Times New Roman" w:cs="Times New Roman"/>
          <w:i/>
          <w:iCs/>
          <w:color w:val="000000" w:themeColor="text1"/>
          <w:sz w:val="24"/>
          <w:szCs w:val="20"/>
          <w:shd w:val="clear" w:color="auto" w:fill="FFFFFF"/>
        </w:rPr>
        <w:t>The ANNALS of the American Academy of Political and Social Science</w:t>
      </w:r>
      <w:r w:rsidRPr="00825C1A">
        <w:rPr>
          <w:rFonts w:ascii="Times New Roman" w:hAnsi="Times New Roman" w:cs="Times New Roman"/>
          <w:color w:val="000000" w:themeColor="text1"/>
          <w:sz w:val="24"/>
          <w:szCs w:val="20"/>
          <w:shd w:val="clear" w:color="auto" w:fill="FFFFFF"/>
        </w:rPr>
        <w:t>, </w:t>
      </w:r>
      <w:r w:rsidRPr="00825C1A">
        <w:rPr>
          <w:rFonts w:ascii="Times New Roman" w:hAnsi="Times New Roman" w:cs="Times New Roman"/>
          <w:i/>
          <w:iCs/>
          <w:color w:val="000000" w:themeColor="text1"/>
          <w:sz w:val="24"/>
          <w:szCs w:val="20"/>
          <w:shd w:val="clear" w:color="auto" w:fill="FFFFFF"/>
        </w:rPr>
        <w:t>663</w:t>
      </w:r>
      <w:r w:rsidRPr="00825C1A">
        <w:rPr>
          <w:rFonts w:ascii="Times New Roman" w:hAnsi="Times New Roman" w:cs="Times New Roman"/>
          <w:color w:val="000000" w:themeColor="text1"/>
          <w:sz w:val="24"/>
          <w:szCs w:val="20"/>
          <w:shd w:val="clear" w:color="auto" w:fill="FFFFFF"/>
        </w:rPr>
        <w:t>(1), 117-139.</w:t>
      </w:r>
    </w:p>
    <w:p w:rsidR="00825C1A" w:rsidRDefault="00825C1A" w:rsidP="00931C8C">
      <w:pPr>
        <w:spacing w:after="0" w:line="480" w:lineRule="auto"/>
        <w:ind w:left="720" w:hanging="720"/>
        <w:rPr>
          <w:rFonts w:ascii="Times New Roman" w:hAnsi="Times New Roman" w:cs="Times New Roman"/>
          <w:color w:val="000000" w:themeColor="text1"/>
          <w:sz w:val="24"/>
          <w:szCs w:val="24"/>
          <w:shd w:val="clear" w:color="auto" w:fill="FFFFFF"/>
        </w:rPr>
      </w:pPr>
      <w:r w:rsidRPr="00825C1A">
        <w:rPr>
          <w:rFonts w:ascii="Times New Roman" w:hAnsi="Times New Roman" w:cs="Times New Roman"/>
          <w:color w:val="000000" w:themeColor="text1"/>
          <w:sz w:val="24"/>
          <w:szCs w:val="24"/>
          <w:shd w:val="clear" w:color="auto" w:fill="FFFFFF"/>
        </w:rPr>
        <w:t>Short, J. R. (2013). Economic wealth and political power in the second Gilded Age. </w:t>
      </w:r>
      <w:r w:rsidRPr="00825C1A">
        <w:rPr>
          <w:rFonts w:ascii="Times New Roman" w:hAnsi="Times New Roman" w:cs="Times New Roman"/>
          <w:i/>
          <w:iCs/>
          <w:color w:val="000000" w:themeColor="text1"/>
          <w:sz w:val="24"/>
          <w:szCs w:val="24"/>
          <w:shd w:val="clear" w:color="auto" w:fill="FFFFFF"/>
        </w:rPr>
        <w:t>Geographies of the super-rich</w:t>
      </w:r>
      <w:r w:rsidRPr="00825C1A">
        <w:rPr>
          <w:rFonts w:ascii="Times New Roman" w:hAnsi="Times New Roman" w:cs="Times New Roman"/>
          <w:color w:val="000000" w:themeColor="text1"/>
          <w:sz w:val="24"/>
          <w:szCs w:val="24"/>
          <w:shd w:val="clear" w:color="auto" w:fill="FFFFFF"/>
        </w:rPr>
        <w:t>, 26-42.</w:t>
      </w:r>
    </w:p>
    <w:p w:rsidR="00825C1A" w:rsidRPr="00825C1A" w:rsidRDefault="00825C1A" w:rsidP="00825C1A">
      <w:pPr>
        <w:spacing w:after="0" w:line="480" w:lineRule="auto"/>
        <w:ind w:left="720" w:hanging="720"/>
        <w:rPr>
          <w:rFonts w:ascii="Times New Roman" w:hAnsi="Times New Roman" w:cs="Times New Roman"/>
          <w:color w:val="000000" w:themeColor="text1"/>
          <w:sz w:val="24"/>
          <w:szCs w:val="24"/>
          <w:shd w:val="clear" w:color="auto" w:fill="FFFFFF"/>
        </w:rPr>
      </w:pPr>
      <w:proofErr w:type="spellStart"/>
      <w:r w:rsidRPr="00825C1A">
        <w:rPr>
          <w:rFonts w:ascii="Times New Roman" w:hAnsi="Times New Roman" w:cs="Times New Roman"/>
          <w:color w:val="000000" w:themeColor="text1"/>
          <w:sz w:val="24"/>
          <w:szCs w:val="24"/>
          <w:shd w:val="clear" w:color="auto" w:fill="FFFFFF"/>
        </w:rPr>
        <w:t>Vaheesan</w:t>
      </w:r>
      <w:proofErr w:type="spellEnd"/>
      <w:r w:rsidRPr="00825C1A">
        <w:rPr>
          <w:rFonts w:ascii="Times New Roman" w:hAnsi="Times New Roman" w:cs="Times New Roman"/>
          <w:color w:val="000000" w:themeColor="text1"/>
          <w:sz w:val="24"/>
          <w:szCs w:val="24"/>
          <w:shd w:val="clear" w:color="auto" w:fill="FFFFFF"/>
        </w:rPr>
        <w:t>, S. (2017). Accommodating capital and policing labor: antitrust in the two gilded ages. </w:t>
      </w:r>
      <w:r w:rsidRPr="00825C1A">
        <w:rPr>
          <w:rFonts w:ascii="Times New Roman" w:hAnsi="Times New Roman" w:cs="Times New Roman"/>
          <w:i/>
          <w:iCs/>
          <w:color w:val="000000" w:themeColor="text1"/>
          <w:sz w:val="24"/>
          <w:szCs w:val="24"/>
          <w:shd w:val="clear" w:color="auto" w:fill="FFFFFF"/>
        </w:rPr>
        <w:t>Maryland Law Review, Forthcoming</w:t>
      </w:r>
      <w:r w:rsidRPr="00825C1A">
        <w:rPr>
          <w:rFonts w:ascii="Times New Roman" w:hAnsi="Times New Roman" w:cs="Times New Roman"/>
          <w:color w:val="000000" w:themeColor="text1"/>
          <w:sz w:val="24"/>
          <w:szCs w:val="24"/>
          <w:shd w:val="clear" w:color="auto" w:fill="FFFFFF"/>
        </w:rPr>
        <w:t>.</w:t>
      </w:r>
    </w:p>
    <w:p w:rsidR="00825C1A" w:rsidRPr="00825C1A" w:rsidRDefault="00825C1A" w:rsidP="00931C8C">
      <w:pPr>
        <w:spacing w:after="0" w:line="480" w:lineRule="auto"/>
        <w:ind w:left="720" w:hanging="720"/>
        <w:rPr>
          <w:rFonts w:ascii="Times New Roman" w:hAnsi="Times New Roman" w:cs="Times New Roman"/>
          <w:color w:val="000000" w:themeColor="text1"/>
          <w:sz w:val="24"/>
          <w:szCs w:val="24"/>
          <w:shd w:val="clear" w:color="auto" w:fill="FFFFFF"/>
        </w:rPr>
      </w:pPr>
    </w:p>
    <w:sectPr w:rsidR="00825C1A" w:rsidRPr="00825C1A" w:rsidSect="00931C8C">
      <w:headerReference w:type="defaul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1A76" w:rsidRDefault="009C1A76" w:rsidP="00E2365E">
      <w:pPr>
        <w:spacing w:after="0" w:line="240" w:lineRule="auto"/>
      </w:pPr>
      <w:r>
        <w:separator/>
      </w:r>
    </w:p>
  </w:endnote>
  <w:endnote w:type="continuationSeparator" w:id="0">
    <w:p w:rsidR="009C1A76" w:rsidRDefault="009C1A76" w:rsidP="00E236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1A76" w:rsidRDefault="009C1A76" w:rsidP="00E2365E">
      <w:pPr>
        <w:spacing w:after="0" w:line="240" w:lineRule="auto"/>
      </w:pPr>
      <w:r>
        <w:separator/>
      </w:r>
    </w:p>
  </w:footnote>
  <w:footnote w:type="continuationSeparator" w:id="0">
    <w:p w:rsidR="009C1A76" w:rsidRDefault="009C1A76" w:rsidP="00E236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877850071"/>
      <w:docPartObj>
        <w:docPartGallery w:val="Page Numbers (Top of Page)"/>
        <w:docPartUnique/>
      </w:docPartObj>
    </w:sdtPr>
    <w:sdtEndPr>
      <w:rPr>
        <w:noProof/>
      </w:rPr>
    </w:sdtEndPr>
    <w:sdtContent>
      <w:p w:rsidR="00E2365E" w:rsidRPr="00931C8C" w:rsidRDefault="004135B0" w:rsidP="004135B0">
        <w:pPr>
          <w:pStyle w:val="Header"/>
          <w:rPr>
            <w:rFonts w:ascii="Times New Roman" w:hAnsi="Times New Roman" w:cs="Times New Roman"/>
            <w:sz w:val="24"/>
          </w:rPr>
        </w:pPr>
        <w:r w:rsidRPr="00931C8C">
          <w:rPr>
            <w:rFonts w:ascii="Times New Roman" w:hAnsi="Times New Roman" w:cs="Times New Roman"/>
            <w:sz w:val="24"/>
          </w:rPr>
          <w:t xml:space="preserve">THE GUILDED AGE                 </w:t>
        </w:r>
        <w:r w:rsidR="00931C8C">
          <w:rPr>
            <w:rFonts w:ascii="Times New Roman" w:hAnsi="Times New Roman" w:cs="Times New Roman"/>
            <w:sz w:val="24"/>
          </w:rPr>
          <w:tab/>
        </w:r>
        <w:r w:rsidR="00931C8C">
          <w:rPr>
            <w:rFonts w:ascii="Times New Roman" w:hAnsi="Times New Roman" w:cs="Times New Roman"/>
            <w:sz w:val="24"/>
          </w:rPr>
          <w:tab/>
        </w:r>
        <w:r w:rsidRPr="00931C8C">
          <w:rPr>
            <w:rFonts w:ascii="Times New Roman" w:hAnsi="Times New Roman" w:cs="Times New Roman"/>
            <w:sz w:val="24"/>
          </w:rPr>
          <w:t xml:space="preserve">                                                          </w:t>
        </w:r>
        <w:r w:rsidR="00E2365E" w:rsidRPr="00931C8C">
          <w:rPr>
            <w:rFonts w:ascii="Times New Roman" w:hAnsi="Times New Roman" w:cs="Times New Roman"/>
            <w:sz w:val="24"/>
          </w:rPr>
          <w:fldChar w:fldCharType="begin"/>
        </w:r>
        <w:r w:rsidR="00E2365E" w:rsidRPr="00931C8C">
          <w:rPr>
            <w:rFonts w:ascii="Times New Roman" w:hAnsi="Times New Roman" w:cs="Times New Roman"/>
            <w:sz w:val="24"/>
          </w:rPr>
          <w:instrText xml:space="preserve"> PAGE   \* MERGEFORMAT </w:instrText>
        </w:r>
        <w:r w:rsidR="00E2365E" w:rsidRPr="00931C8C">
          <w:rPr>
            <w:rFonts w:ascii="Times New Roman" w:hAnsi="Times New Roman" w:cs="Times New Roman"/>
            <w:sz w:val="24"/>
          </w:rPr>
          <w:fldChar w:fldCharType="separate"/>
        </w:r>
        <w:r w:rsidR="00594583">
          <w:rPr>
            <w:rFonts w:ascii="Times New Roman" w:hAnsi="Times New Roman" w:cs="Times New Roman"/>
            <w:noProof/>
            <w:sz w:val="24"/>
          </w:rPr>
          <w:t>5</w:t>
        </w:r>
        <w:r w:rsidR="00E2365E" w:rsidRPr="00931C8C">
          <w:rPr>
            <w:rFonts w:ascii="Times New Roman" w:hAnsi="Times New Roman" w:cs="Times New Roman"/>
            <w:noProof/>
            <w:sz w:val="24"/>
          </w:rPr>
          <w:fldChar w:fldCharType="end"/>
        </w:r>
      </w:p>
    </w:sdtContent>
  </w:sdt>
  <w:p w:rsidR="00E2365E" w:rsidRDefault="00E236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KwsDQ2sTAxtzQyMjBU0lEKTi0uzszPAykwrAUAJAdSISwAAAA="/>
  </w:docVars>
  <w:rsids>
    <w:rsidRoot w:val="00647387"/>
    <w:rsid w:val="00080081"/>
    <w:rsid w:val="000B66C3"/>
    <w:rsid w:val="000E6C4F"/>
    <w:rsid w:val="001450D2"/>
    <w:rsid w:val="00163E14"/>
    <w:rsid w:val="00213463"/>
    <w:rsid w:val="00272776"/>
    <w:rsid w:val="002E2026"/>
    <w:rsid w:val="00346E06"/>
    <w:rsid w:val="003F4F04"/>
    <w:rsid w:val="004135B0"/>
    <w:rsid w:val="00447F1F"/>
    <w:rsid w:val="00450DA0"/>
    <w:rsid w:val="004836C0"/>
    <w:rsid w:val="00545F1E"/>
    <w:rsid w:val="00547AC0"/>
    <w:rsid w:val="00594583"/>
    <w:rsid w:val="006126BF"/>
    <w:rsid w:val="00647387"/>
    <w:rsid w:val="006F6494"/>
    <w:rsid w:val="00712DE9"/>
    <w:rsid w:val="007B25E3"/>
    <w:rsid w:val="00825C1A"/>
    <w:rsid w:val="00931C8C"/>
    <w:rsid w:val="00933A29"/>
    <w:rsid w:val="00953A23"/>
    <w:rsid w:val="009C1A76"/>
    <w:rsid w:val="009D23D3"/>
    <w:rsid w:val="00AA7BA4"/>
    <w:rsid w:val="00AC3E68"/>
    <w:rsid w:val="00AE2982"/>
    <w:rsid w:val="00B45D34"/>
    <w:rsid w:val="00BF6FF3"/>
    <w:rsid w:val="00CF0427"/>
    <w:rsid w:val="00D2347E"/>
    <w:rsid w:val="00D47734"/>
    <w:rsid w:val="00DD2490"/>
    <w:rsid w:val="00DF3C13"/>
    <w:rsid w:val="00E2365E"/>
    <w:rsid w:val="00F3495F"/>
    <w:rsid w:val="00FC4C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36B302-2E00-499C-9463-4F1BFBF93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36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65E"/>
  </w:style>
  <w:style w:type="paragraph" w:styleId="Footer">
    <w:name w:val="footer"/>
    <w:basedOn w:val="Normal"/>
    <w:link w:val="FooterChar"/>
    <w:uiPriority w:val="99"/>
    <w:unhideWhenUsed/>
    <w:rsid w:val="00E236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36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5522847">
      <w:bodyDiv w:val="1"/>
      <w:marLeft w:val="0"/>
      <w:marRight w:val="0"/>
      <w:marTop w:val="0"/>
      <w:marBottom w:val="0"/>
      <w:divBdr>
        <w:top w:val="none" w:sz="0" w:space="0" w:color="auto"/>
        <w:left w:val="none" w:sz="0" w:space="0" w:color="auto"/>
        <w:bottom w:val="none" w:sz="0" w:space="0" w:color="auto"/>
        <w:right w:val="none" w:sz="0" w:space="0" w:color="auto"/>
      </w:divBdr>
    </w:div>
    <w:div w:id="1201746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917</Words>
  <Characters>5231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ERICK</dc:creator>
  <cp:keywords/>
  <dc:description/>
  <cp:lastModifiedBy>user</cp:lastModifiedBy>
  <cp:revision>3</cp:revision>
  <dcterms:created xsi:type="dcterms:W3CDTF">2019-09-05T05:20:00Z</dcterms:created>
  <dcterms:modified xsi:type="dcterms:W3CDTF">2019-09-05T05:27:00Z</dcterms:modified>
</cp:coreProperties>
</file>